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9" w:rsidRDefault="00096F0C">
      <w:pPr>
        <w:rPr>
          <w:sz w:val="28"/>
          <w:szCs w:val="28"/>
        </w:rPr>
      </w:pPr>
      <w:r>
        <w:rPr>
          <w:sz w:val="28"/>
          <w:szCs w:val="28"/>
        </w:rPr>
        <w:t>Закон Курганской области от 6 июня 2007 года №253 «О государственной семейной политике, социальной поддержке, защите прав и законных интересов семьи, материнства, отцовства и детства в Курганской области» -</w:t>
      </w:r>
    </w:p>
    <w:p w:rsidR="00096F0C" w:rsidRDefault="00096F0C">
      <w:pPr>
        <w:rPr>
          <w:sz w:val="28"/>
          <w:szCs w:val="28"/>
        </w:rPr>
      </w:pPr>
      <w:hyperlink r:id="rId4" w:history="1">
        <w:r w:rsidRPr="008078EA">
          <w:rPr>
            <w:rStyle w:val="a3"/>
            <w:sz w:val="28"/>
            <w:szCs w:val="28"/>
          </w:rPr>
          <w:t>https://docs.cntd.ru/document/819006701?ysclid=m6ek1ladac656107970</w:t>
        </w:r>
      </w:hyperlink>
    </w:p>
    <w:p w:rsidR="00096F0C" w:rsidRDefault="00096F0C">
      <w:pPr>
        <w:rPr>
          <w:sz w:val="28"/>
          <w:szCs w:val="28"/>
        </w:rPr>
      </w:pPr>
    </w:p>
    <w:p w:rsidR="00096F0C" w:rsidRDefault="00096F0C">
      <w:pPr>
        <w:rPr>
          <w:sz w:val="28"/>
          <w:szCs w:val="28"/>
        </w:rPr>
      </w:pPr>
    </w:p>
    <w:p w:rsidR="00096F0C" w:rsidRPr="00096F0C" w:rsidRDefault="00096F0C">
      <w:pPr>
        <w:rPr>
          <w:sz w:val="28"/>
          <w:szCs w:val="28"/>
        </w:rPr>
      </w:pPr>
    </w:p>
    <w:sectPr w:rsidR="00096F0C" w:rsidRPr="00096F0C" w:rsidSect="009D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F0C"/>
    <w:rsid w:val="00096F0C"/>
    <w:rsid w:val="009D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819006701?ysclid=m6ek1ladac656107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2025-01-27T04:29:00Z</dcterms:created>
  <dcterms:modified xsi:type="dcterms:W3CDTF">2025-01-27T04:36:00Z</dcterms:modified>
</cp:coreProperties>
</file>